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1080" w:hanging="72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Homework</w:t>
      </w:r>
    </w:p>
    <w:p>
      <w:pPr>
        <w:pStyle w:val="style0"/>
        <w:ind w:left="1080" w:hanging="72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T/F – The underlying assumption of the dividend growth model is that investors value dividends more than capital gains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color w:val="00b0f0"/>
        </w:rPr>
        <w:t>False</w:t>
      </w:r>
    </w:p>
    <w:p>
      <w:pPr>
        <w:pStyle w:val="style179"/>
        <w:ind w:left="108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20" w:lineRule="auto" w:line="240"/>
        <w:contextualSpacing w:val="false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</w:rPr>
        <w:t>T/F – The standard deviation of a risk-free asset is 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color w:val="00b0f0"/>
        </w:rPr>
        <w:t>True</w:t>
      </w:r>
    </w:p>
    <w:p>
      <w:pPr>
        <w:pStyle w:val="style179"/>
        <w:numPr>
          <w:ilvl w:val="0"/>
          <w:numId w:val="1"/>
        </w:numPr>
        <w:spacing w:before="120" w:lineRule="auto" w:line="240"/>
        <w:contextualSpacing w:val="fals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Footwear Inc. has Earnings B</w:t>
      </w:r>
      <w:r>
        <w:rPr>
          <w:rFonts w:ascii="Times New Roman" w:cs="Times New Roman" w:hAnsi="Times New Roman"/>
        </w:rPr>
        <w:t>efore Interest and Taxes of $10</w:t>
      </w:r>
      <w:r>
        <w:rPr>
          <w:rFonts w:ascii="Times New Roman" w:cs="Times New Roman" w:hAnsi="Times New Roman"/>
        </w:rPr>
        <w:t>​million, depreciation expenses of $</w:t>
      </w:r>
      <w:r>
        <w:rPr>
          <w:rFonts w:ascii="Times New Roman" w:cs="Times New Roman" w:hAnsi="Times New Roman"/>
        </w:rPr>
        <w:t>1 ​million</w:t>
      </w:r>
      <w:r>
        <w:rPr>
          <w:rFonts w:ascii="Times New Roman" w:cs="Times New Roman" w:hAnsi="Times New Roman"/>
        </w:rPr>
        <w:t>, capital expenditures of $1.5 ​million, and has increased its net working capital by $500,000. If its tax rate is 35</w:t>
      </w:r>
      <w:r>
        <w:rPr>
          <w:rFonts w:ascii="Times New Roman" w:cs="Times New Roman" w:hAnsi="Times New Roman"/>
        </w:rPr>
        <w:t>%​,</w:t>
      </w:r>
      <w:r>
        <w:rPr>
          <w:rFonts w:ascii="Times New Roman" w:cs="Times New Roman" w:hAnsi="Times New Roman"/>
        </w:rPr>
        <w:t xml:space="preserve"> what is its free cash​ flow?</w:t>
      </w:r>
    </w:p>
    <w:p>
      <w:pPr>
        <w:pStyle w:val="style179"/>
        <w:spacing w:before="120" w:lineRule="auto" w:line="240"/>
        <w:ind w:left="1080"/>
        <w:contextualSpacing w:val="false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Free cash flow=EBIT*(1-tax rate</w:t>
      </w:r>
      <w:r>
        <w:rPr>
          <w:rFonts w:ascii="Times New Roman" w:cs="Times New Roman" w:hAnsi="Times New Roman"/>
          <w:color w:val="00b0f0"/>
        </w:rPr>
        <w:t>)+</w:t>
      </w:r>
      <w:r>
        <w:rPr>
          <w:rFonts w:ascii="Times New Roman" w:cs="Times New Roman" w:hAnsi="Times New Roman"/>
          <w:color w:val="00b0f0"/>
        </w:rPr>
        <w:t>depreciation expense-capital expenditure-increase in net working capital= 10M*(1-0.35)+1M-1.5M-500,000=$5,500,000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Suppose FedEx has earnings per share of $1.34. If the P/E of UPS is 19.16, estimate a value for FedEx stock using the method of comparable.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179"/>
        <w:ind w:left="1080"/>
        <w:rPr>
          <w:rFonts w:ascii="Times New Roman" w:cs="Times New Roman" w:hAnsi="Times New Roman"/>
        </w:rPr>
      </w:pPr>
    </w:p>
    <w:p>
      <w:pPr>
        <w:pStyle w:val="style179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Value of FedEx stock=P/E of UPS*Earnings of FedEx=1.34*19.16=$25.67</w:t>
      </w:r>
    </w:p>
    <w:p>
      <w:pPr>
        <w:pStyle w:val="style179"/>
        <w:ind w:left="108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after="120" w:lineRule="auto" w:line="240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The initial investment required for a project is $375,000. The Stark Company expects cash inflows from this project as detailed below:</w:t>
      </w:r>
    </w:p>
    <w:p>
      <w:pPr>
        <w:pStyle w:val="style0"/>
        <w:spacing w:after="120" w:lineRule="auto" w:line="240"/>
        <w:rPr>
          <w:rFonts w:ascii="Times New Roman" w:cs="Times New Roman" w:hAnsi="Times New Roman"/>
          <w:b/>
          <w:bCs/>
          <w:szCs w:val="24"/>
        </w:rPr>
      </w:pPr>
      <w:r>
        <w:rPr>
          <w:rFonts w:ascii="Times New Roman" w:cs="Times New Roman" w:hAnsi="Times New Roman"/>
          <w:b/>
          <w:bCs/>
          <w:szCs w:val="24"/>
        </w:rPr>
        <w:t>Year 1</w:t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>Year 2</w:t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>Year 3</w:t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>Year 4</w:t>
      </w:r>
    </w:p>
    <w:p>
      <w:pPr>
        <w:pStyle w:val="style0"/>
        <w:spacing w:after="120" w:lineRule="auto" w:line="240"/>
        <w:rPr>
          <w:rFonts w:ascii="Times New Roman" w:cs="Times New Roman" w:hAnsi="Times New Roman"/>
          <w:b/>
          <w:bCs/>
          <w:szCs w:val="24"/>
        </w:rPr>
      </w:pPr>
      <w:r>
        <w:rPr>
          <w:rFonts w:ascii="Times New Roman" w:cs="Times New Roman" w:hAnsi="Times New Roman"/>
          <w:b/>
          <w:bCs/>
          <w:szCs w:val="24"/>
        </w:rPr>
        <w:t>$136,700</w:t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>$136,700</w:t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>$136,700</w:t>
      </w:r>
      <w:r>
        <w:rPr>
          <w:rFonts w:ascii="Times New Roman" w:cs="Times New Roman" w:hAnsi="Times New Roman"/>
          <w:b/>
          <w:bCs/>
          <w:szCs w:val="24"/>
        </w:rPr>
        <w:tab/>
      </w:r>
      <w:r>
        <w:rPr>
          <w:rFonts w:ascii="Times New Roman" w:cs="Times New Roman" w:hAnsi="Times New Roman"/>
          <w:b/>
          <w:bCs/>
          <w:szCs w:val="24"/>
        </w:rPr>
        <w:t xml:space="preserve"> $136,700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The appropriate discount rate for this project is 15%. What is the internal rate of return (IRR) for this project?</w:t>
      </w:r>
      <w:r>
        <w:rPr>
          <w:rFonts w:ascii="Times New Roman" w:cs="Times New Roman" w:hAnsi="Times New Roman"/>
          <w:szCs w:val="24"/>
        </w:rPr>
        <w:t xml:space="preserve"> What is the NPV of this project? Should you accept this project?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IRR=</w:t>
      </w:r>
    </w:p>
    <w:tbl>
      <w:tblPr>
        <w:tblStyle w:val="style154"/>
        <w:tblpPr w:leftFromText="180" w:rightFromText="180" w:topFromText="0" w:bottomFromText="0" w:vertAnchor="text" w:tblpXSpec="lef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0"/>
        <w:gridCol w:w="960"/>
      </w:tblGrid>
      <w:tr>
        <w:trPr>
          <w:trHeight w:val="300" w:hRule="atLeast"/>
        </w:trPr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A</w:t>
            </w:r>
          </w:p>
        </w:tc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B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1</w:t>
            </w:r>
          </w:p>
        </w:tc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-375000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2</w:t>
            </w:r>
          </w:p>
        </w:tc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136700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3</w:t>
            </w:r>
          </w:p>
        </w:tc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136700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4</w:t>
            </w:r>
          </w:p>
        </w:tc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136700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5</w:t>
            </w:r>
          </w:p>
        </w:tc>
        <w:tc>
          <w:tcPr>
            <w:tcW w:w="960" w:type="dxa"/>
            <w:tcBorders/>
            <w:noWrap/>
            <w:hideMark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color w:val="00b0f0"/>
                <w:szCs w:val="24"/>
              </w:rPr>
            </w:pPr>
            <w:r>
              <w:rPr>
                <w:rFonts w:ascii="Times New Roman" w:cs="Times New Roman" w:hAnsi="Times New Roman"/>
                <w:color w:val="00b0f0"/>
                <w:szCs w:val="24"/>
              </w:rPr>
              <w:t>136700</w:t>
            </w:r>
          </w:p>
        </w:tc>
      </w:tr>
    </w:tbl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br w:clear="all"/>
      </w:r>
      <w:r>
        <w:rPr>
          <w:rFonts w:ascii="Times New Roman" w:cs="Times New Roman" w:hAnsi="Times New Roman"/>
          <w:color w:val="00b0f0"/>
          <w:szCs w:val="24"/>
        </w:rPr>
        <w:t>EXCEL-Formulas-Financial-IRR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Enter: Values=B1:B5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 xml:space="preserve">           Guess=10%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Answer=17.00%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NPV=Excel-Formulas-Financial-NPV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 xml:space="preserve">   Rate=15%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Value 1=136700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Value 2=136700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Value 3=136700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Value 4=136700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Answer=$390275.54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Net present value</w:t>
      </w:r>
      <w:r>
        <w:rPr>
          <w:rFonts w:ascii="Times New Roman" w:cs="Times New Roman" w:hAnsi="Times New Roman"/>
          <w:color w:val="00b0f0"/>
          <w:szCs w:val="24"/>
        </w:rPr>
        <w:t>=$390275.54</w:t>
      </w:r>
      <w:r>
        <w:rPr>
          <w:rFonts w:ascii="Times New Roman" w:cs="Times New Roman" w:hAnsi="Times New Roman"/>
          <w:color w:val="00b0f0"/>
          <w:szCs w:val="24"/>
        </w:rPr>
        <w:t>-$375000=$15275.54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If IRR&gt;discount rate, NPV&gt;0 17%&gt;15% therefore, NPV is positive. We should accept this project as it is worth pursuing since it creates value for the company.</w:t>
      </w:r>
    </w:p>
    <w:p>
      <w:pPr>
        <w:pStyle w:val="style179"/>
        <w:ind w:left="108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Your firm is considering investing in a new machine that will cost $575,000 and will be depreciated straight-line over five years. If the firm's marginal tax rate is 35%, what is the annual depreciation tax shield of purchasing the machine?</w:t>
      </w:r>
    </w:p>
    <w:p>
      <w:pPr>
        <w:pStyle w:val="style179"/>
        <w:ind w:left="1080"/>
        <w:rPr>
          <w:rFonts w:ascii="Times New Roman" w:cs="Times New Roman" w:hAnsi="Times New Roman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Annual depreciation amount =</w:t>
      </w:r>
      <w:r>
        <w:rPr>
          <w:rFonts w:ascii="Times New Roman" w:cs="Times New Roman" w:hAnsi="Times New Roman"/>
          <w:color w:val="00b0f0"/>
          <w:szCs w:val="24"/>
        </w:rPr>
        <w:t xml:space="preserve"> </w:t>
      </w:r>
      <w:r>
        <w:rPr>
          <w:rFonts w:ascii="Times New Roman" w:cs="Times New Roman" w:hAnsi="Times New Roman"/>
          <w:color w:val="00b0f0"/>
          <w:szCs w:val="24"/>
        </w:rPr>
        <w:t>(cost of asset-salvage value)/useful life of asset</w:t>
      </w:r>
    </w:p>
    <w:p>
      <w:pPr>
        <w:pStyle w:val="style179"/>
        <w:ind w:left="1080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(575000-0)/5=</w:t>
      </w:r>
      <w:r>
        <w:rPr>
          <w:rFonts w:ascii="Times New Roman" w:cs="Times New Roman" w:hAnsi="Times New Roman"/>
          <w:color w:val="00b0f0"/>
          <w:szCs w:val="24"/>
        </w:rPr>
        <w:t>$115000</w:t>
      </w:r>
    </w:p>
    <w:p>
      <w:pPr>
        <w:pStyle w:val="style179"/>
        <w:ind w:left="1080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Annual depreciation t</w:t>
      </w:r>
      <w:r>
        <w:rPr>
          <w:rFonts w:ascii="Times New Roman" w:cs="Times New Roman" w:hAnsi="Times New Roman"/>
          <w:color w:val="00b0f0"/>
          <w:szCs w:val="24"/>
        </w:rPr>
        <w:t>ax shield=</w:t>
      </w:r>
      <w:r>
        <w:rPr>
          <w:rFonts w:ascii="Times New Roman" w:cs="Times New Roman" w:hAnsi="Times New Roman"/>
          <w:color w:val="00b0f0"/>
          <w:szCs w:val="24"/>
        </w:rPr>
        <w:t>annual</w:t>
      </w:r>
      <w:r>
        <w:rPr>
          <w:rFonts w:ascii="Times New Roman" w:cs="Times New Roman" w:hAnsi="Times New Roman"/>
          <w:color w:val="00b0f0"/>
          <w:szCs w:val="24"/>
        </w:rPr>
        <w:t xml:space="preserve"> depreciation</w:t>
      </w:r>
      <w:r>
        <w:rPr>
          <w:rFonts w:ascii="Times New Roman" w:cs="Times New Roman" w:hAnsi="Times New Roman"/>
          <w:color w:val="00b0f0"/>
          <w:szCs w:val="24"/>
        </w:rPr>
        <w:t xml:space="preserve"> amount</w:t>
      </w:r>
      <w:r>
        <w:rPr>
          <w:rFonts w:ascii="Times New Roman" w:cs="Times New Roman" w:hAnsi="Times New Roman"/>
          <w:color w:val="00b0f0"/>
          <w:szCs w:val="24"/>
        </w:rPr>
        <w:t>*tax rate=115000*35%=$40,250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</w:rPr>
      </w:pPr>
    </w:p>
    <w:p>
      <w:pPr>
        <w:pStyle w:val="style179"/>
        <w:keepLines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szCs w:val="24"/>
        </w:rPr>
        <w:t>The difference between scenario analysis and sensitivity analysis is __</w:t>
      </w:r>
      <w:r>
        <w:rPr>
          <w:rFonts w:ascii="Arial" w:cs="Arial" w:hAnsi="Arial"/>
          <w:color w:val="202124"/>
          <w:shd w:val="clear" w:color="auto" w:fill="ffffff"/>
        </w:rPr>
        <w:t xml:space="preserve"> </w:t>
      </w:r>
    </w:p>
    <w:p>
      <w:pPr>
        <w:pStyle w:val="style179"/>
        <w:rPr>
          <w:rFonts w:ascii="Arial" w:cs="Arial" w:hAnsi="Arial"/>
          <w:bCs/>
          <w:color w:val="00b0f0"/>
          <w:shd w:val="clear" w:color="auto" w:fill="ffffff"/>
        </w:rPr>
      </w:pPr>
    </w:p>
    <w:p>
      <w:pPr>
        <w:pStyle w:val="style179"/>
        <w:keepLines/>
        <w:spacing w:after="0" w:lineRule="auto" w:line="240"/>
        <w:ind w:left="1080"/>
        <w:rPr>
          <w:rFonts w:ascii="Times New Roman" w:cs="Times New Roman" w:hAnsi="Times New Roman"/>
          <w:color w:val="00b0f0"/>
        </w:rPr>
      </w:pPr>
      <w:r>
        <w:rPr>
          <w:rFonts w:ascii="Arial" w:cs="Arial" w:hAnsi="Arial"/>
          <w:bCs/>
          <w:color w:val="00b0f0"/>
          <w:shd w:val="clear" w:color="auto" w:fill="ffffff"/>
        </w:rPr>
        <w:t>S</w:t>
      </w:r>
      <w:r>
        <w:rPr>
          <w:rFonts w:ascii="Arial" w:cs="Arial" w:hAnsi="Arial"/>
          <w:bCs/>
          <w:color w:val="00b0f0"/>
          <w:shd w:val="clear" w:color="auto" w:fill="ffffff"/>
        </w:rPr>
        <w:t>ensitivity analysis</w:t>
      </w:r>
      <w:r>
        <w:rPr>
          <w:rFonts w:ascii="Arial" w:cs="Arial" w:hAnsi="Arial"/>
          <w:color w:val="00b0f0"/>
          <w:shd w:val="clear" w:color="auto" w:fill="ffffff"/>
        </w:rPr>
        <w:t> </w:t>
      </w:r>
      <w:r>
        <w:rPr>
          <w:rFonts w:ascii="Arial" w:cs="Arial" w:hAnsi="Arial"/>
          <w:color w:val="00b0f0"/>
          <w:shd w:val="clear" w:color="auto" w:fill="ffffff"/>
        </w:rPr>
        <w:t>involves examining</w:t>
      </w:r>
      <w:r>
        <w:rPr>
          <w:rFonts w:ascii="Arial" w:cs="Arial" w:hAnsi="Arial"/>
          <w:color w:val="00b0f0"/>
          <w:shd w:val="clear" w:color="auto" w:fill="ffffff"/>
        </w:rPr>
        <w:t xml:space="preserve"> the effect</w:t>
      </w:r>
      <w:r>
        <w:rPr>
          <w:rFonts w:ascii="Arial" w:cs="Arial" w:hAnsi="Arial"/>
          <w:color w:val="00b0f0"/>
          <w:shd w:val="clear" w:color="auto" w:fill="ffffff"/>
        </w:rPr>
        <w:t>s</w:t>
      </w:r>
      <w:r>
        <w:rPr>
          <w:rFonts w:ascii="Arial" w:cs="Arial" w:hAnsi="Arial"/>
          <w:color w:val="00b0f0"/>
          <w:shd w:val="clear" w:color="auto" w:fill="ffffff"/>
        </w:rPr>
        <w:t> </w:t>
      </w:r>
      <w:r>
        <w:rPr>
          <w:rFonts w:ascii="Arial" w:cs="Arial" w:hAnsi="Arial"/>
          <w:bCs/>
          <w:color w:val="00b0f0"/>
          <w:shd w:val="clear" w:color="auto" w:fill="ffffff"/>
        </w:rPr>
        <w:t>of</w:t>
      </w:r>
      <w:r>
        <w:rPr>
          <w:rFonts w:ascii="Arial" w:cs="Arial" w:hAnsi="Arial"/>
          <w:color w:val="00b0f0"/>
          <w:shd w:val="clear" w:color="auto" w:fill="ffffff"/>
        </w:rPr>
        <w:t> making changes to only</w:t>
      </w:r>
      <w:r>
        <w:rPr>
          <w:rFonts w:ascii="Arial" w:cs="Arial" w:hAnsi="Arial"/>
          <w:color w:val="00b0f0"/>
          <w:shd w:val="clear" w:color="auto" w:fill="ffffff"/>
        </w:rPr>
        <w:t xml:space="preserve"> one variab</w:t>
      </w:r>
      <w:r>
        <w:rPr>
          <w:rFonts w:ascii="Arial" w:cs="Arial" w:hAnsi="Arial"/>
          <w:color w:val="00b0f0"/>
          <w:shd w:val="clear" w:color="auto" w:fill="ffffff"/>
        </w:rPr>
        <w:t xml:space="preserve">le at a time while </w:t>
      </w:r>
      <w:r>
        <w:rPr>
          <w:rFonts w:ascii="Arial" w:cs="Arial" w:hAnsi="Arial"/>
          <w:bCs/>
          <w:color w:val="00b0f0"/>
          <w:shd w:val="clear" w:color="auto" w:fill="ffffff"/>
        </w:rPr>
        <w:t>scenario analysis</w:t>
      </w:r>
      <w:r>
        <w:rPr>
          <w:rFonts w:ascii="Arial" w:cs="Arial" w:hAnsi="Arial"/>
          <w:color w:val="00b0f0"/>
          <w:shd w:val="clear" w:color="auto" w:fill="ffffff"/>
        </w:rPr>
        <w:t> assesses the effect </w:t>
      </w:r>
      <w:r>
        <w:rPr>
          <w:rFonts w:ascii="Arial" w:cs="Arial" w:hAnsi="Arial"/>
          <w:bCs/>
          <w:color w:val="00b0f0"/>
          <w:shd w:val="clear" w:color="auto" w:fill="ffffff"/>
        </w:rPr>
        <w:t>of</w:t>
      </w:r>
      <w:r>
        <w:rPr>
          <w:rFonts w:ascii="Arial" w:cs="Arial" w:hAnsi="Arial"/>
          <w:color w:val="00b0f0"/>
          <w:shd w:val="clear" w:color="auto" w:fill="ffffff"/>
        </w:rPr>
        <w:t> </w:t>
      </w:r>
      <w:r>
        <w:rPr>
          <w:rFonts w:ascii="Arial" w:cs="Arial" w:hAnsi="Arial"/>
          <w:color w:val="00b0f0"/>
          <w:shd w:val="clear" w:color="auto" w:fill="ffffff"/>
        </w:rPr>
        <w:t>making changes to</w:t>
      </w:r>
      <w:r>
        <w:rPr>
          <w:rFonts w:ascii="Arial" w:cs="Arial" w:hAnsi="Arial"/>
          <w:color w:val="00b0f0"/>
          <w:shd w:val="clear" w:color="auto" w:fill="ffffff"/>
        </w:rPr>
        <w:t xml:space="preserve"> all the input variables at the same time</w:t>
      </w:r>
      <w:r>
        <w:rPr>
          <w:rFonts w:ascii="Times New Roman" w:cs="Times New Roman" w:hAnsi="Times New Roman"/>
          <w:color w:val="00b0f0"/>
          <w:szCs w:val="24"/>
        </w:rPr>
        <w:t xml:space="preserve"> </w:t>
      </w:r>
      <w:r>
        <w:rPr>
          <w:rFonts w:ascii="Times New Roman" w:cs="Times New Roman" w:hAnsi="Times New Roman"/>
          <w:color w:val="00b0f0"/>
          <w:szCs w:val="24"/>
        </w:rPr>
        <w:tab/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keepLines/>
        <w:spacing w:after="0" w:lineRule="auto" w:line="240"/>
        <w:ind w:left="1080"/>
        <w:rPr>
          <w:rFonts w:ascii="Times New Roman" w:cs="Times New Roman" w:hAnsi="Times New Roman"/>
        </w:rPr>
      </w:pPr>
    </w:p>
    <w:p>
      <w:pPr>
        <w:pStyle w:val="style179"/>
        <w:keepLines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Your portfolio is valued at $50,000.  It includes 10 shares in AMZN with a price of $2,000 per share, 450 shares of KHC at $30 per share and the rest in AZO.  What is the portfolio weight in AZO?</w:t>
      </w:r>
    </w:p>
    <w:p>
      <w:pPr>
        <w:pStyle w:val="style179"/>
        <w:keepLines/>
        <w:spacing w:after="0" w:lineRule="auto" w:line="240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b0f0"/>
        </w:rPr>
        <w:t>AMZN market value=10*2000=$20000</w:t>
      </w:r>
    </w:p>
    <w:p>
      <w:pPr>
        <w:pStyle w:val="style179"/>
        <w:keepLines/>
        <w:spacing w:after="0" w:lineRule="auto" w:line="240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KHC market value=450*30=$13500</w:t>
      </w:r>
    </w:p>
    <w:p>
      <w:pPr>
        <w:pStyle w:val="style179"/>
        <w:keepLines/>
        <w:spacing w:after="0" w:lineRule="auto" w:line="240"/>
        <w:ind w:left="1080"/>
        <w:rPr>
          <w:rFonts w:ascii="Times New Roman" w:cs="Times New Roman" w:hAnsi="Times New Roman"/>
          <w:color w:val="00b0f0"/>
        </w:rPr>
      </w:pPr>
    </w:p>
    <w:p>
      <w:pPr>
        <w:pStyle w:val="style179"/>
        <w:keepLines/>
        <w:spacing w:after="0" w:lineRule="auto" w:line="240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AMZN weight=20000/50000=0.4=40%</w:t>
      </w:r>
    </w:p>
    <w:p>
      <w:pPr>
        <w:pStyle w:val="style179"/>
        <w:keepLines/>
        <w:spacing w:after="0" w:lineRule="auto" w:line="240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KHC weight=13500/50000=0.27=27%</w:t>
      </w:r>
    </w:p>
    <w:p>
      <w:pPr>
        <w:pStyle w:val="style179"/>
        <w:keepLines/>
        <w:spacing w:after="0" w:lineRule="auto" w:line="240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AZO  weight</w:t>
      </w:r>
      <w:r>
        <w:rPr>
          <w:rFonts w:ascii="Times New Roman" w:cs="Times New Roman" w:hAnsi="Times New Roman"/>
          <w:color w:val="00b0f0"/>
        </w:rPr>
        <w:t>=100%-40%-27%=33%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Cs w:val="24"/>
        </w:rPr>
        <w:t>The expected return on NFLX, FDX and BBY are 18%, 7% and 20% respectively. Compute the expected return on a portfolio with a weight of 20% in NFLX, 40% in FDX and the rest in BBY.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Expected return on portfolio= sum of (weights*expected return)</w:t>
      </w:r>
    </w:p>
    <w:p>
      <w:pPr>
        <w:pStyle w:val="style179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First calculate weight for BBY= 100%-20%-40%=40%</w:t>
      </w:r>
    </w:p>
    <w:p>
      <w:pPr>
        <w:pStyle w:val="style179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</w:rPr>
        <w:t>0.2*18+0.4*7+0.4*20=14.40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ind w:left="108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Cs w:val="24"/>
        </w:rPr>
        <w:t>If the volatility of returns on AAPL and GE are 30% and 40% respectively, compute the volatility of returns of a portfolio with a weight of 40% in AAPL and 60% in GE if the correlation between these stocks is 0.35.</w:t>
      </w:r>
    </w:p>
    <w:p>
      <w:pPr>
        <w:pStyle w:val="style179"/>
        <w:ind w:left="1080"/>
        <w:rPr>
          <w:rFonts w:ascii="Times New Roman" w:cs="Times New Roman" w:hAnsi="Times New Roman"/>
        </w:rPr>
      </w:pPr>
    </w:p>
    <w:p>
      <w:pPr>
        <w:pStyle w:val="style179"/>
        <w:ind w:left="1080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Expected return of AAPL=0.4*30=12</w:t>
      </w:r>
      <w:r>
        <w:rPr>
          <w:rFonts w:ascii="Times New Roman" w:cs="Times New Roman" w:hAnsi="Times New Roman"/>
          <w:color w:val="00b0f0"/>
          <w:szCs w:val="24"/>
        </w:rPr>
        <w:t>%</w:t>
      </w:r>
    </w:p>
    <w:p>
      <w:pPr>
        <w:pStyle w:val="style179"/>
        <w:ind w:left="1080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 xml:space="preserve">                                    GE=0.6*40=24</w:t>
      </w:r>
      <w:r>
        <w:rPr>
          <w:rFonts w:ascii="Times New Roman" w:cs="Times New Roman" w:hAnsi="Times New Roman"/>
          <w:color w:val="00b0f0"/>
          <w:szCs w:val="24"/>
        </w:rPr>
        <w:t>%</w:t>
      </w:r>
    </w:p>
    <w:p>
      <w:pPr>
        <w:pStyle w:val="style179"/>
        <w:ind w:left="1080"/>
        <w:rPr>
          <w:rFonts w:ascii="Times New Roman" w:cs="Times New Roman" w:hAnsi="Times New Roman"/>
          <w:color w:val="00b0f0"/>
          <w:szCs w:val="24"/>
        </w:rPr>
      </w:pPr>
      <w:r>
        <w:rPr>
          <w:rFonts w:ascii="Times New Roman" w:cs="Times New Roman" w:hAnsi="Times New Roman"/>
          <w:color w:val="00b0f0"/>
          <w:szCs w:val="24"/>
        </w:rPr>
        <w:t>12%+24%=36% expected return on portfolio</w:t>
      </w:r>
    </w:p>
    <w:p>
      <w:pPr>
        <w:pStyle w:val="style179"/>
        <w:ind w:left="1080"/>
        <w:rPr>
          <w:rFonts w:ascii="Times New Roman" w:cs="Times New Roman" w:hAnsi="Times New Roman"/>
          <w:color w:val="00b0f0"/>
        </w:rPr>
      </w:pPr>
      <w:r>
        <w:rPr>
          <w:rFonts w:ascii="Times New Roman" w:cs="Times New Roman" w:hAnsi="Times New Roman"/>
          <w:color w:val="00b0f0"/>
          <w:szCs w:val="24"/>
        </w:rPr>
        <w:t xml:space="preserve">Volatility= </w:t>
      </w:r>
      <w:r>
        <w:rPr>
          <w:rFonts w:ascii="Times New Roman" w:cs="Times New Roman" w:hAnsi="Times New Roman"/>
          <w:color w:val="00b0f0"/>
          <w:szCs w:val="24"/>
        </w:rPr>
        <w:t>√(</w:t>
      </w:r>
      <w:r>
        <w:rPr>
          <w:rFonts w:ascii="Times New Roman" w:cs="Times New Roman" w:hAnsi="Times New Roman"/>
          <w:color w:val="00b0f0"/>
          <w:szCs w:val="24"/>
        </w:rPr>
        <w:t>0.4*(30%-36%)^</w:t>
      </w:r>
      <w:r>
        <w:rPr>
          <w:rFonts w:ascii="Times New Roman" w:cs="Times New Roman" w:hAnsi="Times New Roman"/>
          <w:color w:val="00b0f0"/>
          <w:szCs w:val="24"/>
          <w:vertAlign w:val="superscript"/>
        </w:rPr>
        <w:t>2</w:t>
      </w:r>
      <w:r>
        <w:rPr>
          <w:rFonts w:ascii="Times New Roman" w:cs="Times New Roman" w:hAnsi="Times New Roman"/>
          <w:color w:val="00b0f0"/>
          <w:szCs w:val="24"/>
        </w:rPr>
        <w:t>+0.6*(40%-36%)^</w:t>
      </w:r>
      <w:r>
        <w:rPr>
          <w:rFonts w:ascii="Times New Roman" w:cs="Times New Roman" w:hAnsi="Times New Roman"/>
          <w:color w:val="00b0f0"/>
          <w:szCs w:val="24"/>
          <w:vertAlign w:val="superscript"/>
        </w:rPr>
        <w:t>2</w:t>
      </w:r>
      <w:r>
        <w:rPr>
          <w:rFonts w:ascii="Times New Roman" w:cs="Times New Roman" w:hAnsi="Times New Roman"/>
          <w:color w:val="00b0f0"/>
          <w:szCs w:val="24"/>
        </w:rPr>
        <w:t>)</w:t>
      </w:r>
      <w:r>
        <w:rPr>
          <w:rFonts w:ascii="Times New Roman" w:cs="Times New Roman" w:hAnsi="Times New Roman"/>
          <w:color w:val="00b0f0"/>
          <w:szCs w:val="24"/>
        </w:rPr>
        <w:t>=</w:t>
      </w:r>
      <w:r>
        <w:rPr>
          <w:rFonts w:ascii="Times New Roman" w:cs="Times New Roman" w:hAnsi="Times New Roman"/>
          <w:color w:val="00b0f0"/>
          <w:szCs w:val="24"/>
        </w:rPr>
        <w:t>√24=4.9%</w:t>
      </w:r>
    </w:p>
    <w:p>
      <w:pPr>
        <w:pStyle w:val="style4097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is the expected return on American Express Company (AXP) stock, if the risk-free rate of interest is 2%, the market risk premium is 6.1%, and the AXP's beta of is 1.21</w:t>
      </w:r>
      <w:r>
        <w:rPr>
          <w:rFonts w:ascii="Times New Roman" w:hAnsi="Times New Roman"/>
          <w:szCs w:val="24"/>
        </w:rPr>
        <w:t>?</w:t>
      </w:r>
    </w:p>
    <w:p>
      <w:pPr>
        <w:pStyle w:val="style4097"/>
        <w:spacing w:lineRule="auto" w:line="240"/>
        <w:ind w:left="1080"/>
        <w:jc w:val="both"/>
        <w:rPr>
          <w:rFonts w:ascii="Times New Roman" w:hAnsi="Times New Roman"/>
          <w:szCs w:val="24"/>
        </w:rPr>
      </w:pPr>
    </w:p>
    <w:p>
      <w:pPr>
        <w:pStyle w:val="style4097"/>
        <w:spacing w:lineRule="auto" w:line="240"/>
        <w:ind w:left="1080"/>
        <w:jc w:val="both"/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</w:pP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Using CAPM-SML formula</w:t>
      </w:r>
    </w:p>
    <w:p>
      <w:pPr>
        <w:pStyle w:val="style4097"/>
        <w:spacing w:lineRule="auto" w:line="240"/>
        <w:ind w:left="1080"/>
        <w:jc w:val="both"/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</w:pP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Expected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 xml:space="preserve"> return = Risk free rate + Beta* Market r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isk premium</w:t>
      </w:r>
    </w:p>
    <w:p>
      <w:pPr>
        <w:pStyle w:val="style4097"/>
        <w:spacing w:lineRule="auto" w:line="240"/>
        <w:ind w:left="1080"/>
        <w:jc w:val="both"/>
        <w:rPr>
          <w:rFonts w:ascii="Times New Roman" w:hAnsi="Times New Roman"/>
          <w:color w:val="00b0f0"/>
          <w:szCs w:val="24"/>
        </w:rPr>
      </w:pP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2%+1.21*6.1%=9.381%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Tesla (TSLA) has a CAPM beta of 1.18. The market risk premium is 5.5%, and the risk-free rate of interest is 3.4%. The coupon rate and the yield to maturity of Tesla's debt are 5.25% and 6.00%, respectively. If Tesla’s capital structure consists of 70% common stock and 30% debt, what is Tesla's weighted average cost of capital if its tax rate is 25%?</w:t>
      </w:r>
    </w:p>
    <w:p>
      <w:pPr>
        <w:pStyle w:val="style179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4097"/>
        <w:spacing w:lineRule="auto" w:line="240"/>
        <w:ind w:left="1080"/>
        <w:jc w:val="both"/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</w:pPr>
      <w:r>
        <w:rPr>
          <w:rFonts w:ascii="Times New Roman" w:hAnsi="Times New Roman"/>
          <w:color w:val="00b0f0"/>
          <w:szCs w:val="24"/>
        </w:rPr>
        <w:t>Cost of equity</w:t>
      </w:r>
      <w:r>
        <w:rPr>
          <w:rFonts w:ascii="Times New Roman" w:hAnsi="Times New Roman"/>
          <w:color w:val="000000"/>
          <w:szCs w:val="24"/>
        </w:rPr>
        <w:t>=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 xml:space="preserve"> 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Risk free rate + Beta* Market risk premium</w:t>
      </w:r>
    </w:p>
    <w:p>
      <w:pPr>
        <w:pStyle w:val="style4097"/>
        <w:spacing w:lineRule="auto" w:line="240"/>
        <w:ind w:left="1080"/>
        <w:jc w:val="both"/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</w:pP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3.4%+1.18*5.5%=9.89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%</w:t>
      </w:r>
    </w:p>
    <w:p>
      <w:pPr>
        <w:pStyle w:val="style4097"/>
        <w:spacing w:lineRule="auto" w:line="240"/>
        <w:ind w:left="1080"/>
        <w:jc w:val="both"/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</w:pP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After-tax cost of debt=YTM*(1-tax rate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)=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6.00%*(1-0.25)=4.50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%</w:t>
      </w:r>
    </w:p>
    <w:p>
      <w:pPr>
        <w:pStyle w:val="style4097"/>
        <w:spacing w:lineRule="auto" w:line="240"/>
        <w:ind w:left="1080"/>
        <w:jc w:val="both"/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</w:pP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(70%/100%)*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9.89%</w:t>
      </w:r>
      <w:r>
        <w:rPr>
          <w:rStyle w:val="style88"/>
          <w:rFonts w:ascii="Times New Roman" w:hAnsi="Times New Roman"/>
          <w:bCs/>
          <w:i w:val="false"/>
          <w:iCs w:val="false"/>
          <w:color w:val="00b0f0"/>
          <w:spacing w:val="3"/>
          <w:szCs w:val="24"/>
          <w:shd w:val="clear" w:color="auto" w:fill="ffffff"/>
        </w:rPr>
        <w:t>+(30%/100%)*4.50%*(1-25%)=7.9355% or 0.079355</w:t>
      </w:r>
    </w:p>
    <w:p>
      <w:pPr>
        <w:pStyle w:val="style179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NVIDIA just paid an annual dividend of $2.50, and it is expected to grow at 3% forever. If the cost of equity capital is 8.5%, what is the most you would pay for one share of NVIDIA?</w:t>
      </w:r>
    </w:p>
    <w:p>
      <w:pPr>
        <w:pStyle w:val="style179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bCs/>
          <w:color w:val="00b0f0"/>
          <w:sz w:val="24"/>
          <w:szCs w:val="24"/>
        </w:rPr>
      </w:pPr>
      <w:r>
        <w:rPr>
          <w:rFonts w:ascii="Times New Roman" w:cs="Times New Roman" w:hAnsi="Times New Roman"/>
          <w:bCs/>
          <w:color w:val="00b0f0"/>
          <w:sz w:val="24"/>
          <w:szCs w:val="24"/>
        </w:rPr>
        <w:t>D0*(1+g)/(r-g)</w:t>
      </w:r>
    </w:p>
    <w:p>
      <w:pPr>
        <w:pStyle w:val="style179"/>
        <w:ind w:left="1080"/>
        <w:rPr>
          <w:rFonts w:ascii="Times New Roman" w:cs="Times New Roman" w:hAnsi="Times New Roman"/>
          <w:bCs/>
          <w:color w:val="00b0f0"/>
          <w:sz w:val="24"/>
          <w:szCs w:val="24"/>
        </w:rPr>
      </w:pPr>
      <w:r>
        <w:rPr>
          <w:rFonts w:ascii="Times New Roman" w:cs="Times New Roman" w:hAnsi="Times New Roman"/>
          <w:bCs/>
          <w:color w:val="00b0f0"/>
          <w:sz w:val="24"/>
          <w:szCs w:val="24"/>
        </w:rPr>
        <w:t>2.50*(1+0.03)</w:t>
      </w:r>
      <w:r>
        <w:rPr>
          <w:rFonts w:ascii="Times New Roman" w:cs="Times New Roman" w:hAnsi="Times New Roman"/>
          <w:bCs/>
          <w:color w:val="00b0f0"/>
          <w:sz w:val="24"/>
          <w:szCs w:val="24"/>
        </w:rPr>
        <w:t>/(</w:t>
      </w:r>
      <w:r>
        <w:rPr>
          <w:rFonts w:ascii="Times New Roman" w:cs="Times New Roman" w:hAnsi="Times New Roman"/>
          <w:bCs/>
          <w:color w:val="00b0f0"/>
          <w:sz w:val="24"/>
          <w:szCs w:val="24"/>
        </w:rPr>
        <w:t>0.085-0.03)=$46.82</w:t>
      </w:r>
    </w:p>
    <w:p>
      <w:pPr>
        <w:pStyle w:val="style179"/>
        <w:rPr>
          <w:rFonts w:ascii="Times New Roman" w:cs="Times New Roman" w:hAnsi="Times New Roman"/>
          <w:bCs/>
          <w:color w:val="00b0f0"/>
          <w:sz w:val="24"/>
          <w:szCs w:val="24"/>
        </w:rPr>
      </w:pPr>
    </w:p>
    <w:p>
      <w:pPr>
        <w:pStyle w:val="style179"/>
        <w:ind w:left="108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ind w:left="360"/>
        <w:rPr>
          <w:rFonts w:ascii="Times New Roman" w:cs="Times New Roman" w:eastAsia="宋体" w:hAnsi="Times New Roman"/>
          <w:sz w:val="18"/>
          <w:szCs w:val="18"/>
        </w:rPr>
      </w:pPr>
    </w:p>
    <w:bookmarkStart w:id="0" w:name="_GoBack"/>
    <w:bookmarkEnd w:id="0"/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pani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E36A55A"/>
    <w:lvl w:ilvl="0" w:tplc="F968AF40">
      <w:start w:val="1"/>
      <w:numFmt w:val="decimal"/>
      <w:lvlText w:val="%1."/>
      <w:lvlJc w:val="left"/>
      <w:pPr>
        <w:ind w:left="1080" w:hanging="720"/>
      </w:pPr>
      <w:rPr>
        <w:rFonts w:hint="default"/>
        <w:b w:val="false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color w:val="000000"/>
        <w:sz w:val="24"/>
        <w:szCs w:val="24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宋体" w:hAnsi="Calibri"/>
      <w:color w:val="auto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answers"/>
    <w:basedOn w:val="style0"/>
    <w:next w:val="style4097"/>
    <w:pPr>
      <w:spacing w:after="0" w:lineRule="exact" w:line="240"/>
      <w:ind w:left="720"/>
    </w:pPr>
    <w:rPr>
      <w:rFonts w:ascii="Timpani" w:cs="Times New Roman" w:eastAsia="Times New Roman" w:hAnsi="Timpani"/>
      <w:sz w:val="24"/>
      <w:szCs w:val="2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668</Words>
  <Pages>3</Pages>
  <Characters>3763</Characters>
  <Application>WPS Office</Application>
  <DocSecurity>0</DocSecurity>
  <Paragraphs>102</Paragraphs>
  <ScaleCrop>false</ScaleCrop>
  <LinksUpToDate>false</LinksUpToDate>
  <CharactersWithSpaces>4427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2021-05-05T10:50:34Z</dcterms:created>
  <dc:creator>jayedwards2369@gmail.com</dc:creator>
  <lastModifiedBy>SM-A515F</lastModifiedBy>
  <dcterms:modified xsi:type="dcterms:W3CDTF">2021-05-05T10:50:34Z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